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427C6E" w:rsidRPr="00377BC4" w:rsidTr="001A48C1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:rsidR="00427C6E" w:rsidRPr="00377BC4" w:rsidRDefault="00427C6E" w:rsidP="001A48C1">
            <w:pPr>
              <w:jc w:val="left"/>
              <w:rPr>
                <w:color w:val="FFFFFF"/>
              </w:rPr>
            </w:pPr>
            <w:bookmarkStart w:id="0" w:name="_GoBack"/>
            <w:bookmarkEnd w:id="0"/>
            <w:r w:rsidRPr="00377BC4">
              <w:rPr>
                <w:noProof/>
                <w:color w:val="FFFFFF"/>
                <w:lang w:eastAsia="en-GB"/>
              </w:rPr>
              <w:drawing>
                <wp:inline distT="0" distB="0" distL="0" distR="0" wp14:anchorId="7A78E007" wp14:editId="0A3776CA">
                  <wp:extent cx="1061085" cy="724535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FEDERATION</w:t>
            </w:r>
          </w:p>
          <w:p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INTERNATIONALE</w:t>
            </w:r>
          </w:p>
          <w:p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DE L'AUTOMOBILE</w:t>
            </w:r>
          </w:p>
          <w:p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:rsidR="00427C6E" w:rsidRPr="00377BC4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DEMANDE D’APPROBATION PAR LA FIA</w:t>
            </w:r>
          </w:p>
          <w:p w:rsidR="00427C6E" w:rsidRPr="00377BC4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 xml:space="preserve">DU REGLEMENT TECHNIQUE D’UNE SERIE INTERNATIONALE </w:t>
            </w:r>
          </w:p>
          <w:p w:rsidR="00427C6E" w:rsidRPr="00377BC4" w:rsidRDefault="00427C6E" w:rsidP="00427C6E">
            <w:pPr>
              <w:jc w:val="center"/>
              <w:rPr>
                <w:rFonts w:ascii="Calibri" w:hAnsi="Calibri"/>
                <w:color w:val="FFFFFF"/>
                <w:sz w:val="22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CONFORMEMENT A L’ART. 2</w:t>
            </w:r>
            <w:r w:rsidR="00453766"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.</w:t>
            </w: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4 DU CODE SPORTIF INTERNATIONAL</w:t>
            </w:r>
          </w:p>
        </w:tc>
      </w:tr>
    </w:tbl>
    <w:p w:rsidR="00427C6E" w:rsidRPr="00377BC4" w:rsidRDefault="00427C6E" w:rsidP="001644A6">
      <w:pPr>
        <w:rPr>
          <w:rFonts w:ascii="Calibri" w:hAnsi="Calibri" w:cs="Calibri"/>
          <w:color w:val="002060"/>
          <w:sz w:val="18"/>
        </w:rPr>
      </w:pPr>
    </w:p>
    <w:p w:rsidR="001644A6" w:rsidRPr="00377BC4" w:rsidRDefault="009A27D1" w:rsidP="001644A6">
      <w:pPr>
        <w:rPr>
          <w:rFonts w:ascii="Calibri" w:hAnsi="Calibri" w:cs="Calibri"/>
          <w:b/>
          <w:color w:val="002060"/>
          <w:sz w:val="18"/>
          <w:u w:val="single"/>
        </w:rPr>
      </w:pPr>
      <w:r w:rsidRPr="00377BC4">
        <w:rPr>
          <w:rFonts w:ascii="Calibri" w:hAnsi="Calibri" w:cs="Calibri"/>
          <w:b/>
          <w:color w:val="002060"/>
          <w:sz w:val="18"/>
          <w:u w:val="single"/>
        </w:rPr>
        <w:t>Rappel</w:t>
      </w:r>
    </w:p>
    <w:p w:rsidR="001644A6" w:rsidRPr="00377BC4" w:rsidRDefault="001644A6" w:rsidP="001644A6">
      <w:pPr>
        <w:rPr>
          <w:rFonts w:ascii="Calibri" w:hAnsi="Calibri" w:cs="Calibri"/>
          <w:color w:val="002060"/>
          <w:sz w:val="18"/>
        </w:rPr>
      </w:pPr>
    </w:p>
    <w:p w:rsidR="009A27D1" w:rsidRPr="00377BC4" w:rsidRDefault="009A27D1" w:rsidP="009A27D1">
      <w:pPr>
        <w:ind w:left="284"/>
        <w:rPr>
          <w:rFonts w:ascii="Calibri" w:hAnsi="Calibri" w:cs="Calibri"/>
          <w:b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</w:rPr>
        <w:t>Pour qu</w:t>
      </w:r>
      <w:r w:rsidR="00BA078D" w:rsidRPr="00377BC4">
        <w:rPr>
          <w:rFonts w:ascii="Calibri" w:hAnsi="Calibri" w:cs="Calibri"/>
          <w:b/>
          <w:color w:val="002060"/>
          <w:sz w:val="18"/>
        </w:rPr>
        <w:t>’</w:t>
      </w:r>
      <w:r w:rsidRPr="00377BC4">
        <w:rPr>
          <w:rFonts w:ascii="Calibri" w:hAnsi="Calibri" w:cs="Calibri"/>
          <w:b/>
          <w:color w:val="002060"/>
          <w:sz w:val="18"/>
        </w:rPr>
        <w:t>une série soit admissible au titr</w:t>
      </w:r>
      <w:r w:rsidR="00AC252D" w:rsidRPr="00377BC4">
        <w:rPr>
          <w:rFonts w:ascii="Calibri" w:hAnsi="Calibri" w:cs="Calibri"/>
          <w:b/>
          <w:color w:val="002060"/>
          <w:sz w:val="18"/>
        </w:rPr>
        <w:t>e de Série Internationale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 de la FIA</w:t>
      </w:r>
      <w:r w:rsidR="00AC252D" w:rsidRPr="00377BC4">
        <w:rPr>
          <w:rFonts w:ascii="Calibri" w:hAnsi="Calibri" w:cs="Calibri"/>
          <w:b/>
          <w:color w:val="002060"/>
          <w:sz w:val="18"/>
        </w:rPr>
        <w:t>, son Règlement T</w:t>
      </w:r>
      <w:r w:rsidRPr="00377BC4">
        <w:rPr>
          <w:rFonts w:ascii="Calibri" w:hAnsi="Calibri" w:cs="Calibri"/>
          <w:b/>
          <w:color w:val="002060"/>
          <w:sz w:val="18"/>
        </w:rPr>
        <w:t xml:space="preserve">echnique doit </w:t>
      </w:r>
      <w:r w:rsidR="006827F7" w:rsidRPr="00377BC4">
        <w:rPr>
          <w:rFonts w:ascii="Calibri" w:hAnsi="Calibri" w:cs="Calibri"/>
          <w:b/>
          <w:color w:val="002060"/>
          <w:sz w:val="18"/>
        </w:rPr>
        <w:t>inclure et respecter les</w:t>
      </w:r>
      <w:r w:rsidRPr="00377BC4">
        <w:rPr>
          <w:rFonts w:ascii="Calibri" w:hAnsi="Calibri" w:cs="Calibri"/>
          <w:b/>
          <w:color w:val="002060"/>
          <w:sz w:val="18"/>
        </w:rPr>
        <w:t xml:space="preserve"> critères de sécurité </w:t>
      </w:r>
      <w:r w:rsidR="00BA078D" w:rsidRPr="00377BC4">
        <w:rPr>
          <w:rFonts w:ascii="Calibri" w:hAnsi="Calibri" w:cs="Calibri"/>
          <w:b/>
          <w:color w:val="002060"/>
          <w:sz w:val="18"/>
        </w:rPr>
        <w:t>conformes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 à</w:t>
      </w:r>
      <w:r w:rsidRPr="00377BC4">
        <w:rPr>
          <w:rFonts w:ascii="Calibri" w:hAnsi="Calibri" w:cs="Calibri"/>
          <w:b/>
          <w:color w:val="002060"/>
          <w:sz w:val="18"/>
        </w:rPr>
        <w:t xml:space="preserve"> l</w:t>
      </w:r>
      <w:r w:rsidR="00BA078D" w:rsidRPr="00377BC4">
        <w:rPr>
          <w:rFonts w:ascii="Calibri" w:hAnsi="Calibri" w:cs="Calibri"/>
          <w:b/>
          <w:color w:val="002060"/>
          <w:sz w:val="18"/>
        </w:rPr>
        <w:t>’</w:t>
      </w:r>
      <w:r w:rsidRPr="00377BC4">
        <w:rPr>
          <w:rFonts w:ascii="Calibri" w:hAnsi="Calibri" w:cs="Calibri"/>
          <w:b/>
          <w:color w:val="002060"/>
          <w:sz w:val="18"/>
        </w:rPr>
        <w:t>Annexe J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, notamment </w:t>
      </w:r>
      <w:r w:rsidR="0004718D" w:rsidRPr="00377BC4">
        <w:rPr>
          <w:rFonts w:ascii="Calibri" w:hAnsi="Calibri" w:cs="Calibri"/>
          <w:b/>
          <w:color w:val="002060"/>
          <w:sz w:val="18"/>
        </w:rPr>
        <w:t>pour ce qui est d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es </w:t>
      </w:r>
      <w:r w:rsidR="0004718D" w:rsidRPr="00377BC4">
        <w:rPr>
          <w:rFonts w:ascii="Calibri" w:hAnsi="Calibri" w:cs="Calibri"/>
          <w:b/>
          <w:color w:val="002060"/>
          <w:sz w:val="18"/>
        </w:rPr>
        <w:t xml:space="preserve">points suivants : </w:t>
      </w:r>
    </w:p>
    <w:p w:rsidR="001644A6" w:rsidRPr="00377BC4" w:rsidRDefault="006827F7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Conformité totale à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un des Groupes défini</w:t>
      </w:r>
      <w:r w:rsidR="002771F1" w:rsidRPr="00377BC4">
        <w:rPr>
          <w:rFonts w:ascii="Calibri" w:hAnsi="Calibri" w:cs="Calibri"/>
          <w:color w:val="002060"/>
          <w:sz w:val="18"/>
        </w:rPr>
        <w:t>s dans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>Annexe J.</w:t>
      </w:r>
    </w:p>
    <w:p w:rsidR="001644A6" w:rsidRPr="00377BC4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Conformité totale à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Article 277 de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Annexe J (exigences de sécurité minimales). Non applicable lorsque la voiture est homologuée FIA ou est conforme à un autre Groupe FIA</w:t>
      </w:r>
      <w:r w:rsidR="001644A6" w:rsidRPr="00377BC4">
        <w:rPr>
          <w:rFonts w:ascii="Calibri" w:hAnsi="Calibri" w:cs="Calibri"/>
          <w:color w:val="002060"/>
          <w:sz w:val="18"/>
        </w:rPr>
        <w:t>.</w:t>
      </w:r>
    </w:p>
    <w:p w:rsidR="00E96EE3" w:rsidRPr="00377BC4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highlight w:val="yellow"/>
        </w:rPr>
      </w:pPr>
      <w:r w:rsidRPr="00377BC4">
        <w:rPr>
          <w:rFonts w:ascii="Calibri" w:hAnsi="Calibri" w:cs="Calibri"/>
          <w:color w:val="002060"/>
          <w:sz w:val="18"/>
          <w:highlight w:val="yellow"/>
        </w:rPr>
        <w:t>Dans le cas où la conformité totale à l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Annexe J n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est pas possible, la demande d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approbation de la série doit mentionner explicitement les éléments qui ne respectent pas l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Annexe J</w:t>
      </w:r>
      <w:r w:rsidR="00E96EE3" w:rsidRPr="00377BC4">
        <w:rPr>
          <w:rFonts w:ascii="Calibri" w:hAnsi="Calibri" w:cs="Calibri"/>
          <w:color w:val="002060"/>
          <w:sz w:val="18"/>
          <w:highlight w:val="yellow"/>
        </w:rPr>
        <w:t>.</w:t>
      </w:r>
    </w:p>
    <w:p w:rsidR="002771F1" w:rsidRPr="00377BC4" w:rsidRDefault="00E96EE3" w:rsidP="00E96EE3">
      <w:pPr>
        <w:ind w:left="567"/>
        <w:rPr>
          <w:rFonts w:ascii="Calibri" w:hAnsi="Calibri" w:cs="Calibri"/>
          <w:color w:val="002060"/>
          <w:sz w:val="18"/>
          <w:highlight w:val="yellow"/>
        </w:rPr>
      </w:pPr>
      <w:r w:rsidRPr="00377BC4">
        <w:rPr>
          <w:rFonts w:ascii="Calibri" w:hAnsi="Calibri" w:cs="Calibri"/>
          <w:color w:val="002060"/>
          <w:sz w:val="18"/>
          <w:highlight w:val="yellow"/>
        </w:rPr>
        <w:t>Tout élément indiqué "NON"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 xml:space="preserve"> </w:t>
      </w:r>
      <w:r w:rsidRPr="00377BC4">
        <w:rPr>
          <w:rFonts w:ascii="Calibri" w:hAnsi="Calibri" w:cs="Calibri"/>
          <w:color w:val="002060"/>
          <w:sz w:val="18"/>
          <w:highlight w:val="yellow"/>
        </w:rPr>
        <w:t xml:space="preserve">dans les tableaux suivants doit faire l'objet d'un document 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>explicati</w:t>
      </w:r>
      <w:r w:rsidRPr="00377BC4">
        <w:rPr>
          <w:rFonts w:ascii="Calibri" w:hAnsi="Calibri" w:cs="Calibri"/>
          <w:color w:val="002060"/>
          <w:sz w:val="18"/>
          <w:highlight w:val="yellow"/>
        </w:rPr>
        <w:t xml:space="preserve">f 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>ann</w:t>
      </w:r>
      <w:r w:rsidR="003E38D3" w:rsidRPr="00377BC4">
        <w:rPr>
          <w:rFonts w:ascii="Calibri" w:hAnsi="Calibri" w:cs="Calibri"/>
          <w:color w:val="002060"/>
          <w:sz w:val="18"/>
          <w:highlight w:val="yellow"/>
        </w:rPr>
        <w:t>exé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 xml:space="preserve"> à la présente fiche</w:t>
      </w:r>
      <w:r w:rsidR="002771F1" w:rsidRPr="00377BC4">
        <w:rPr>
          <w:rFonts w:ascii="Calibri" w:hAnsi="Calibri" w:cs="Calibri"/>
          <w:color w:val="002060"/>
          <w:sz w:val="18"/>
          <w:highlight w:val="yellow"/>
        </w:rPr>
        <w:t>.</w:t>
      </w:r>
    </w:p>
    <w:p w:rsidR="001644A6" w:rsidRPr="00377BC4" w:rsidRDefault="00981553" w:rsidP="002771F1">
      <w:pPr>
        <w:ind w:left="567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>près concertation avec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>ASN demandeuse, et selon les éléments d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 xml:space="preserve">information recueillis, </w:t>
      </w:r>
      <w:r w:rsidRPr="00377BC4">
        <w:rPr>
          <w:rFonts w:ascii="Calibri" w:hAnsi="Calibri" w:cs="Calibri"/>
          <w:color w:val="002060"/>
          <w:sz w:val="18"/>
        </w:rPr>
        <w:t>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 xml:space="preserve">Administration de la FIA </w:t>
      </w:r>
      <w:r w:rsidR="002771F1" w:rsidRPr="00377BC4">
        <w:rPr>
          <w:rFonts w:ascii="Calibri" w:hAnsi="Calibri" w:cs="Calibri"/>
          <w:color w:val="002060"/>
          <w:sz w:val="18"/>
        </w:rPr>
        <w:t>décider</w:t>
      </w: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 xml:space="preserve"> si la conformité partielle est acceptable ou non pour des raisons de sécurité et formuler</w:t>
      </w: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 xml:space="preserve"> au CMSA une recommandation pour accepter ou refuser la Série Internationale.</w:t>
      </w:r>
    </w:p>
    <w:p w:rsidR="001644A6" w:rsidRPr="00377BC4" w:rsidRDefault="001644A6" w:rsidP="001644A6">
      <w:pPr>
        <w:ind w:left="567" w:hanging="567"/>
        <w:rPr>
          <w:rFonts w:ascii="Calibri" w:hAnsi="Calibri" w:cs="Calibri"/>
          <w:color w:val="002060"/>
          <w:sz w:val="18"/>
        </w:rPr>
      </w:pPr>
    </w:p>
    <w:p w:rsidR="001A48C1" w:rsidRPr="00377BC4" w:rsidRDefault="001A48C1" w:rsidP="001A48C1">
      <w:pPr>
        <w:ind w:left="567" w:hanging="567"/>
        <w:jc w:val="center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</w:p>
    <w:p w:rsidR="001644A6" w:rsidRPr="00377BC4" w:rsidRDefault="001644A6" w:rsidP="001644A6">
      <w:pPr>
        <w:ind w:left="567" w:hanging="567"/>
        <w:rPr>
          <w:rFonts w:ascii="Calibri" w:hAnsi="Calibri" w:cs="Calibri"/>
          <w:color w:val="002060"/>
          <w:sz w:val="18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8"/>
        <w:gridCol w:w="146"/>
        <w:gridCol w:w="3982"/>
        <w:gridCol w:w="265"/>
        <w:gridCol w:w="783"/>
        <w:gridCol w:w="106"/>
        <w:gridCol w:w="462"/>
        <w:gridCol w:w="849"/>
        <w:gridCol w:w="1100"/>
        <w:gridCol w:w="995"/>
        <w:gridCol w:w="426"/>
      </w:tblGrid>
      <w:tr w:rsidR="001644A6" w:rsidRPr="00377BC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Le/La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:rsidR="003859AA" w:rsidRPr="00377BC4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L'ASN*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Cs w:val="20"/>
              </w:rPr>
              <w:t>Le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3859AA" w:rsidRPr="00377BC4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LA DATE DE DEMANDE*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859AA" w:rsidRPr="00377BC4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</w:tr>
      <w:tr w:rsidR="001644A6" w:rsidRPr="00377BC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3859AA">
        <w:trPr>
          <w:trHeight w:val="283"/>
          <w:jc w:val="center"/>
        </w:trPr>
        <w:tc>
          <w:tcPr>
            <w:tcW w:w="9216" w:type="dxa"/>
            <w:gridSpan w:val="10"/>
            <w:shd w:val="clear" w:color="auto" w:fill="DBE5F1" w:themeFill="accent1" w:themeFillTint="33"/>
            <w:vAlign w:val="center"/>
          </w:tcPr>
          <w:p w:rsidR="001644A6" w:rsidRPr="00377BC4" w:rsidRDefault="00CE6BA4" w:rsidP="004D1C5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déclare 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par la présente </w:t>
            </w: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que les véhicules engag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és dans</w:t>
            </w: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 la Série Internationale 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désignée :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:rsidR="003859AA" w:rsidRPr="00377BC4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SERIE*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Cs w:val="20"/>
              </w:rPr>
              <w:t>Pour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3859AA" w:rsidRPr="00377BC4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ANNEE/SAISON*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859AA" w:rsidRPr="00377BC4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</w:tr>
      <w:tr w:rsidR="003859AA" w:rsidRPr="00377BC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3859AA">
        <w:trPr>
          <w:trHeight w:val="283"/>
          <w:jc w:val="center"/>
        </w:trPr>
        <w:tc>
          <w:tcPr>
            <w:tcW w:w="9216" w:type="dxa"/>
            <w:gridSpan w:val="10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répondent aux critères d’admissibilité ci-dessus mentionnés et correspondent au descriptifs ci-dessous.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nil"/>
              <w:bottom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A.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3859AA" w:rsidRPr="00377BC4" w:rsidRDefault="003859AA" w:rsidP="009370B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VEHICULES EN CONFORMITE AVEC </w:t>
            </w:r>
            <w:r w:rsidR="00E20C2E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LES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GROUPES DE L’ANNEXE J</w:t>
            </w:r>
          </w:p>
        </w:tc>
      </w:tr>
      <w:tr w:rsidR="003859AA" w:rsidRPr="00377BC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3859AA" w:rsidRPr="00377BC4" w:rsidRDefault="003859AA" w:rsidP="000C0560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ARTICLE DE L’ANNEXE J</w:t>
            </w:r>
          </w:p>
          <w:p w:rsidR="009370B9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18"/>
                <w:highlight w:val="yellow"/>
              </w:rPr>
              <w:t>(EXCEPTES ART. 251, 252, 253, 277, 281, 282, 283)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20C2E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CATEGORIE*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L'ARTICLE CONCERNE, EX. 257A*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E20C2E" w:rsidRPr="00377BC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3859AA" w:rsidRPr="00377BC4" w:rsidRDefault="003859AA" w:rsidP="009370B9">
            <w:pPr>
              <w:jc w:val="lef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VEHICULES EN CONFORMITE AVEC L’ART. 277 DE L’ANNEXE J</w:t>
            </w:r>
            <w:r w:rsidR="009370B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ab/>
            </w:r>
            <w:r w:rsidR="009370B9" w:rsidRPr="00377BC4">
              <w:rPr>
                <w:rFonts w:ascii="Calibri" w:hAnsi="Calibri" w:cs="Calibri"/>
                <w:i/>
                <w:color w:val="002060"/>
                <w:szCs w:val="20"/>
                <w:highlight w:val="yellow"/>
              </w:rPr>
              <w:t>A</w:t>
            </w:r>
            <w:r w:rsidRPr="00377BC4">
              <w:rPr>
                <w:rFonts w:ascii="Calibri" w:hAnsi="Calibri" w:cs="Calibri"/>
                <w:i/>
                <w:color w:val="002060"/>
                <w:szCs w:val="20"/>
                <w:highlight w:val="yellow"/>
              </w:rPr>
              <w:t>utres que ceux définis dans l’un des Groupes de l’Annexe J</w:t>
            </w:r>
          </w:p>
        </w:tc>
      </w:tr>
      <w:tr w:rsidR="003859AA" w:rsidRPr="00377BC4" w:rsidTr="008D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Pr="00377BC4">
              <w:rPr>
                <w:rFonts w:ascii="Calibri" w:hAnsi="Calibri" w:cs="Calibri"/>
              </w:rPr>
              <w:t xml:space="preserve"> </w:t>
            </w: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 DE L’ART. 277*</w:t>
            </w:r>
          </w:p>
          <w:p w:rsidR="003859AA" w:rsidRPr="00377BC4" w:rsidRDefault="003859AA" w:rsidP="00CB029B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peut être uniquement I, II-SH, II-SC, II-SS ou III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20C2E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CATEGORIE*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*EX: II-SC*</w:t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*EX: B2-1*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E20C2E" w:rsidRPr="00377BC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E20C2E" w:rsidRPr="00377BC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1A48C1" w:rsidRPr="00377BC4" w:rsidRDefault="001A48C1">
      <w:pPr>
        <w:jc w:val="left"/>
      </w:pPr>
      <w:r w:rsidRPr="00377BC4"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1478"/>
        <w:gridCol w:w="2373"/>
        <w:gridCol w:w="1020"/>
        <w:gridCol w:w="1021"/>
        <w:gridCol w:w="8"/>
        <w:gridCol w:w="277"/>
        <w:gridCol w:w="9"/>
      </w:tblGrid>
      <w:tr w:rsidR="001A48C1" w:rsidRPr="00377BC4" w:rsidTr="00377BC4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</w:t>
            </w:r>
            <w:r w:rsidR="004562B1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30" w:type="dxa"/>
            <w:gridSpan w:val="8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377BC4" w:rsidRDefault="00945A43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</w:t>
            </w:r>
            <w:r w:rsidR="00CB029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VERIFICATION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POUR VEHICULES 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(ART. 251-1.1)</w:t>
            </w:r>
          </w:p>
        </w:tc>
      </w:tr>
      <w:tr w:rsidR="001644A6" w:rsidRPr="00377BC4" w:rsidTr="00B86C51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:rsidR="001644A6" w:rsidRPr="00377BC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CF0017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2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B86C51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F0017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463C7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Annexe </w:t>
            </w:r>
            <w:r w:rsidR="001644A6" w:rsidRPr="00377BC4">
              <w:rPr>
                <w:rFonts w:ascii="Calibri" w:hAnsi="Calibri" w:cs="Calibri"/>
                <w:b/>
                <w:color w:val="002060"/>
                <w:sz w:val="18"/>
              </w:rPr>
              <w:t>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F0017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</w:rPr>
              <w:t>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3323A" w:rsidP="0063323A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63323A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377BC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853BB" w:rsidRPr="00377BC4" w:rsidRDefault="00E853BB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853BB" w:rsidRPr="00377BC4" w:rsidRDefault="00E853BB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Spécification FT3, FT3.5 ou FT5 obligatoire, dans le respect des prescriptions de l’Art. 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377BC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377BC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377BC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5E7805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5E7805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253-3.1 et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0736B0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</w:t>
            </w:r>
            <w:r w:rsidR="001644A6" w:rsidRPr="00377BC4">
              <w:rPr>
                <w:rFonts w:ascii="Calibri" w:hAnsi="Calibri" w:cs="Calibri"/>
                <w:color w:val="002060"/>
              </w:rPr>
              <w:t>-</w:t>
            </w: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1644A6" w:rsidRPr="00377BC4">
              <w:rPr>
                <w:rFonts w:ascii="Calibri" w:hAnsi="Calibri" w:cs="Calibri"/>
                <w:color w:val="002060"/>
              </w:rPr>
              <w:t>.</w:t>
            </w:r>
            <w:r w:rsidRPr="00377BC4">
              <w:rPr>
                <w:rFonts w:ascii="Calibri" w:hAnsi="Calibri" w:cs="Calibri"/>
                <w:color w:val="002060"/>
              </w:rPr>
              <w:t>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255-5.1.14 de l'Annexe J 2019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D84F7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275-10.3.1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Pr="00377BC4">
              <w:rPr>
                <w:rFonts w:ascii="Calibri" w:hAnsi="Calibri" w:cs="Calibri"/>
                <w:color w:val="002060"/>
              </w:rPr>
              <w:t xml:space="preserve">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Feu </w:t>
            </w:r>
            <w:r w:rsidR="006D75F5" w:rsidRPr="00377BC4">
              <w:rPr>
                <w:rFonts w:ascii="Calibri" w:hAnsi="Calibri" w:cs="Calibri"/>
                <w:color w:val="002060"/>
              </w:rPr>
              <w:t>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222D4C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377BC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163B3" w:rsidRPr="00377BC4" w:rsidRDefault="005163B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163B3" w:rsidRPr="00377BC4" w:rsidRDefault="005163B3" w:rsidP="00685FC2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377BC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377BC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377BC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</w:t>
            </w:r>
            <w:r w:rsidR="00222D4C" w:rsidRPr="00377BC4">
              <w:rPr>
                <w:rFonts w:ascii="Calibri" w:hAnsi="Calibri" w:cs="Calibri"/>
                <w:color w:val="002060"/>
              </w:rPr>
              <w:t>arde au sol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</w:t>
            </w:r>
            <w:r w:rsidR="00222D4C" w:rsidRPr="00377BC4">
              <w:rPr>
                <w:rFonts w:ascii="Calibri" w:hAnsi="Calibri" w:cs="Calibri"/>
                <w:color w:val="002060"/>
              </w:rPr>
              <w:t>rie(s)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222D4C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tructures </w:t>
            </w:r>
            <w:r w:rsidRPr="00377BC4">
              <w:rPr>
                <w:rFonts w:ascii="Calibri" w:hAnsi="Calibri" w:cs="Calibri"/>
                <w:color w:val="002060"/>
              </w:rPr>
              <w:t xml:space="preserve">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22D4C" w:rsidP="00222D4C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 de sécurité des véhicules construits </w:t>
            </w:r>
            <w:r w:rsidR="00B440AD"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B440A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</w:t>
            </w:r>
            <w:r w:rsidR="001644A6" w:rsidRPr="00377BC4">
              <w:rPr>
                <w:rFonts w:ascii="Calibri" w:hAnsi="Calibri" w:cs="Calibri"/>
                <w:color w:val="002060"/>
              </w:rPr>
              <w:t>inimum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A39A8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A39A8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B86C51">
        <w:trPr>
          <w:gridAfter w:val="1"/>
          <w:wAfter w:w="9" w:type="dxa"/>
          <w:trHeight w:hRule="exact" w:val="57"/>
          <w:jc w:val="center"/>
        </w:trPr>
        <w:tc>
          <w:tcPr>
            <w:tcW w:w="9687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:rsidR="00167D83" w:rsidRPr="00377BC4" w:rsidRDefault="00167D83" w:rsidP="00167D83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</w:t>
      </w:r>
    </w:p>
    <w:p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1478"/>
        <w:gridCol w:w="2373"/>
        <w:gridCol w:w="1020"/>
        <w:gridCol w:w="1021"/>
        <w:gridCol w:w="8"/>
        <w:gridCol w:w="277"/>
        <w:gridCol w:w="9"/>
      </w:tblGrid>
      <w:tr w:rsidR="00C441F9" w:rsidRPr="00377BC4" w:rsidTr="00377BC4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B1.2</w:t>
            </w:r>
          </w:p>
        </w:tc>
        <w:tc>
          <w:tcPr>
            <w:tcW w:w="9130" w:type="dxa"/>
            <w:gridSpan w:val="8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VEHICULES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DE TYPE TOUT-TERRAIN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CAT. I (ART. 281-1.1)</w:t>
            </w:r>
          </w:p>
        </w:tc>
      </w:tr>
      <w:tr w:rsidR="00C441F9" w:rsidRPr="00377BC4" w:rsidTr="00C441F9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C441F9" w:rsidRPr="00377BC4" w:rsidRDefault="00C441F9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Spécification FT3, FT3.5 ou FT5 obligatoire, dans le respect des prescriptions de l’Art. </w:t>
            </w:r>
            <w:r w:rsidR="00377BC4" w:rsidRPr="00377BC4">
              <w:rPr>
                <w:rFonts w:ascii="Calibri" w:hAnsi="Calibri" w:cs="Calibri"/>
                <w:color w:val="002060"/>
              </w:rPr>
              <w:t>283</w:t>
            </w:r>
            <w:r w:rsidRPr="00377BC4">
              <w:rPr>
                <w:rFonts w:ascii="Calibri" w:hAnsi="Calibri" w:cs="Calibri"/>
                <w:color w:val="002060"/>
              </w:rPr>
              <w:t>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891F7D" w:rsidRDefault="00C441F9" w:rsidP="00C441F9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283-3.1 et 28</w:t>
            </w:r>
            <w:r w:rsidR="00C441F9"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</w:t>
            </w:r>
            <w:r w:rsidR="00C441F9" w:rsidRPr="00377BC4">
              <w:rPr>
                <w:rFonts w:ascii="Calibri" w:hAnsi="Calibri" w:cs="Calibri"/>
                <w:color w:val="002060"/>
              </w:rPr>
              <w:t>-</w:t>
            </w:r>
            <w:r w:rsidRPr="00377BC4">
              <w:rPr>
                <w:rFonts w:ascii="Calibri" w:hAnsi="Calibri" w:cs="Calibri"/>
                <w:color w:val="002060"/>
              </w:rPr>
              <w:t>14.2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</w:t>
            </w:r>
            <w:r w:rsidR="00C441F9" w:rsidRPr="00377BC4">
              <w:rPr>
                <w:rFonts w:ascii="Calibri" w:hAnsi="Calibri" w:cs="Calibri"/>
                <w:color w:val="002060"/>
              </w:rPr>
              <w:t>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Equipement lumineux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5E7805" w:rsidRDefault="00C441F9" w:rsidP="009E022F">
            <w:pPr>
              <w:rPr>
                <w:rFonts w:ascii="Calibri" w:hAnsi="Calibri" w:cs="Calibri"/>
                <w:color w:val="002060"/>
                <w:spacing w:val="-2"/>
              </w:rPr>
            </w:pP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Chaque batterie doit être </w:t>
            </w:r>
            <w:r w:rsidR="00377BC4" w:rsidRPr="005E7805">
              <w:rPr>
                <w:rFonts w:ascii="Calibri" w:hAnsi="Calibri" w:cs="Calibri"/>
                <w:color w:val="002060"/>
                <w:spacing w:val="-2"/>
              </w:rPr>
              <w:t xml:space="preserve">fixée </w:t>
            </w: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solidement et couverte </w:t>
            </w:r>
            <w:r w:rsidR="00377BC4" w:rsidRPr="005E7805">
              <w:rPr>
                <w:rFonts w:ascii="Calibri" w:hAnsi="Calibri" w:cs="Calibri"/>
                <w:color w:val="002060"/>
                <w:spacing w:val="-2"/>
              </w:rPr>
              <w:t>de façon à</w:t>
            </w: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  <w:r w:rsidR="00377BC4" w:rsidRPr="00377BC4">
              <w:rPr>
                <w:rFonts w:ascii="Calibri" w:hAnsi="Calibri" w:cs="Calibri"/>
                <w:color w:val="002060"/>
              </w:rPr>
              <w:t xml:space="preserve"> et 284-5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:rsidTr="00C441F9">
        <w:trPr>
          <w:gridAfter w:val="1"/>
          <w:wAfter w:w="9" w:type="dxa"/>
          <w:trHeight w:hRule="exact" w:val="57"/>
          <w:jc w:val="center"/>
        </w:trPr>
        <w:tc>
          <w:tcPr>
            <w:tcW w:w="9687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C441F9" w:rsidRPr="00377BC4" w:rsidRDefault="00C441F9" w:rsidP="00C441F9">
      <w:pPr>
        <w:rPr>
          <w:rFonts w:ascii="Calibri" w:hAnsi="Calibri" w:cs="Calibri"/>
          <w:color w:val="002060"/>
          <w:sz w:val="20"/>
        </w:rPr>
      </w:pPr>
    </w:p>
    <w:p w:rsidR="00C441F9" w:rsidRPr="00377BC4" w:rsidRDefault="00C441F9" w:rsidP="00C441F9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</w:t>
      </w:r>
    </w:p>
    <w:p w:rsidR="00C441F9" w:rsidRPr="00377BC4" w:rsidRDefault="00C441F9" w:rsidP="00C441F9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562B1" w:rsidRPr="00377BC4" w:rsidTr="002C36AA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VEHICULES </w:t>
            </w:r>
            <w:r w:rsidR="000A743C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A PROPULSION ELECTRIQUE</w:t>
            </w:r>
            <w:r w:rsidR="000A743C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(ART. 251-1.1)</w:t>
            </w:r>
          </w:p>
        </w:tc>
      </w:tr>
      <w:tr w:rsidR="004562B1" w:rsidRPr="00377BC4" w:rsidTr="002C36AA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A508E4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4562B1" w:rsidRPr="00377BC4" w:rsidRDefault="004562B1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2C36AA" w:rsidRPr="00377BC4" w:rsidTr="002C36AA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A743C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377BC4" w:rsidRDefault="000A743C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A743C" w:rsidRPr="00377BC4" w:rsidRDefault="000A743C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Essai de choc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A743C" w:rsidRPr="00377BC4" w:rsidRDefault="000A743C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Doit satisfaire les lignes directrices FIA pour essai de choc (disponibles sur demande auprès du Département Technique de la FIA)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377BC4" w:rsidRDefault="000A743C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377BC4" w:rsidRDefault="000A743C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377BC4" w:rsidRDefault="000A743C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377BC4" w:rsidRDefault="00732A3C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Système Haute Tension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377BC4" w:rsidRDefault="00844968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377BC4" w:rsidRDefault="00732A3C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Tous les systèmes Haute Tension doivent être du fabricant d'équipement d'origine (FEO) ( ceux de la voiture de production de série homologué pour usage routier), à l'exception des modifications effectuées par le constructeur de la voiture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377BC4" w:rsidRDefault="007B39E0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Approbation FIA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275-10.3.1 et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  <w:r w:rsidR="00731FBB" w:rsidRPr="00377BC4">
              <w:rPr>
                <w:rFonts w:ascii="Calibri" w:hAnsi="Calibri" w:cs="Calibri"/>
                <w:color w:val="002060"/>
              </w:rPr>
              <w:t xml:space="preserve"> et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  <w:r w:rsidR="00731FBB" w:rsidRPr="00377BC4">
              <w:rPr>
                <w:rFonts w:ascii="Calibri" w:hAnsi="Calibri" w:cs="Calibri"/>
                <w:color w:val="002060"/>
              </w:rPr>
              <w:t xml:space="preserve"> et ancrages de 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731FBB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31FBB" w:rsidRPr="00377BC4" w:rsidRDefault="00731FBB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31FBB" w:rsidRPr="00377BC4" w:rsidRDefault="00731FBB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1FBB" w:rsidRPr="00377BC4" w:rsidRDefault="00731FBB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Homologation ou Certification par une ASN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377BC4" w:rsidRDefault="00731FBB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377BC4" w:rsidRDefault="00731FBB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377BC4" w:rsidRDefault="00731FBB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31408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31408" w:rsidRPr="00377BC4" w:rsidRDefault="00631408" w:rsidP="00631408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31408" w:rsidRPr="00377BC4" w:rsidRDefault="00631408" w:rsidP="00631408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Structures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31408" w:rsidRPr="00891F7D" w:rsidRDefault="00631408" w:rsidP="00631408">
            <w:pPr>
              <w:rPr>
                <w:rFonts w:ascii="Calibri" w:hAnsi="Calibri" w:cs="Calibri"/>
                <w:color w:val="002060"/>
                <w:spacing w:val="-2"/>
              </w:rPr>
            </w:pPr>
            <w:r w:rsidRPr="00891F7D">
              <w:rPr>
                <w:rFonts w:ascii="Calibri" w:hAnsi="Calibri" w:cs="Calibri"/>
                <w:color w:val="002060"/>
                <w:spacing w:val="-2"/>
              </w:rPr>
              <w:t>L'armature de sécurité doit être Homologuée ou Certifiée par une ASN conformément au règlement d'homologation FIA pour armature de sécurité (voir Article 253-8.1.b)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31408" w:rsidRPr="00377BC4" w:rsidRDefault="00631408" w:rsidP="00631408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31408" w:rsidRPr="00377BC4" w:rsidRDefault="00631408" w:rsidP="00631408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31408" w:rsidRPr="00377BC4" w:rsidRDefault="00631408" w:rsidP="00631408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:rsidTr="00496024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4562B1" w:rsidRPr="00377BC4" w:rsidRDefault="004562B1" w:rsidP="004562B1">
      <w:pPr>
        <w:rPr>
          <w:rFonts w:ascii="Calibri" w:hAnsi="Calibri" w:cs="Calibri"/>
          <w:color w:val="002060"/>
          <w:sz w:val="20"/>
        </w:rPr>
      </w:pPr>
    </w:p>
    <w:p w:rsidR="004562B1" w:rsidRPr="00377BC4" w:rsidRDefault="004562B1" w:rsidP="004562B1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</w:t>
      </w:r>
    </w:p>
    <w:p w:rsidR="004562B1" w:rsidRPr="00377BC4" w:rsidRDefault="004562B1">
      <w:pPr>
        <w:jc w:val="left"/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5"/>
        <w:gridCol w:w="1473"/>
        <w:gridCol w:w="2377"/>
        <w:gridCol w:w="1019"/>
        <w:gridCol w:w="1022"/>
        <w:gridCol w:w="285"/>
        <w:gridCol w:w="9"/>
      </w:tblGrid>
      <w:tr w:rsidR="001A48C1" w:rsidRPr="00377BC4" w:rsidTr="009E022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B2.1</w:t>
            </w:r>
          </w:p>
        </w:tc>
        <w:tc>
          <w:tcPr>
            <w:tcW w:w="9130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377BC4" w:rsidRDefault="00680DF7" w:rsidP="005E6F6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E47A0D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POUR LES VEHICULES ASSIMILABLES </w:t>
            </w:r>
            <w:r w:rsidR="005E6F67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 LA 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</w:t>
            </w:r>
            <w:r w:rsidR="00E47A0D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</w:t>
            </w:r>
            <w:r w:rsidR="009370B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I-SH</w:t>
            </w:r>
            <w:r w:rsid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377BC4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(ART. 251-1.1)</w:t>
            </w:r>
          </w:p>
        </w:tc>
      </w:tr>
      <w:tr w:rsidR="001644A6" w:rsidRPr="00377BC4" w:rsidTr="009E022F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E47A0D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:rsidR="001644A6" w:rsidRPr="00377BC4" w:rsidRDefault="001644A6" w:rsidP="00E47A0D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E47A0D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2C36AA" w:rsidRPr="00377BC4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E47A0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E47A0D" w:rsidRPr="00377BC4">
              <w:rPr>
                <w:rFonts w:ascii="Calibri" w:hAnsi="Calibri" w:cs="Calibri"/>
                <w:b/>
                <w:color w:val="002060"/>
                <w:sz w:val="18"/>
              </w:rPr>
              <w:t>Annexe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E47A0D" w:rsidP="00E47A0D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E47A0D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E47A0D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E47A0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E47A0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30E75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377BC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0E75" w:rsidRPr="00377BC4" w:rsidRDefault="00030E75" w:rsidP="000A70F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 - Cas général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0E75" w:rsidRPr="00377BC4" w:rsidRDefault="00030E75" w:rsidP="00030E7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259-6.3 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377BC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377BC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377BC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34ABA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377BC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34ABA" w:rsidRPr="00377BC4" w:rsidRDefault="00F34ABA" w:rsidP="00A86CC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Réservoir de sécurité - </w:t>
            </w:r>
            <w:r w:rsidR="00A86CCF" w:rsidRPr="00377BC4">
              <w:rPr>
                <w:rFonts w:ascii="Calibri" w:hAnsi="Calibri" w:cs="Calibri"/>
                <w:color w:val="002060"/>
              </w:rPr>
              <w:t>V</w:t>
            </w:r>
            <w:r w:rsidRPr="00377BC4">
              <w:rPr>
                <w:rFonts w:ascii="Calibri" w:hAnsi="Calibri" w:cs="Calibri"/>
                <w:color w:val="002060"/>
              </w:rPr>
              <w:t>oitures type GT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34ABA" w:rsidRPr="00377BC4" w:rsidRDefault="00F34ABA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257A-6.3</w:t>
            </w:r>
            <w:r w:rsidR="008D2182" w:rsidRPr="00377BC4">
              <w:rPr>
                <w:rFonts w:ascii="Calibri" w:hAnsi="Calibri" w:cs="Calibri"/>
                <w:color w:val="002060"/>
              </w:rPr>
              <w:t xml:space="preserve"> de l'Annexe J 2015</w:t>
            </w:r>
            <w:r w:rsidRPr="00377BC4">
              <w:rPr>
                <w:rFonts w:ascii="Calibri" w:hAnsi="Calibri" w:cs="Calibri"/>
                <w:color w:val="002060"/>
              </w:rPr>
              <w:t xml:space="preserve"> pour réservoir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377BC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377BC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377BC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030E7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C4CDA" w:rsidP="00F34ABA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</w:t>
            </w:r>
            <w:r w:rsidR="00F34ABA" w:rsidRPr="00377BC4">
              <w:rPr>
                <w:rFonts w:ascii="Calibri" w:hAnsi="Calibri" w:cs="Calibri"/>
                <w:color w:val="002060"/>
              </w:rPr>
              <w:t>3</w:t>
            </w:r>
            <w:r w:rsidRPr="00377BC4">
              <w:rPr>
                <w:rFonts w:ascii="Calibri" w:hAnsi="Calibri" w:cs="Calibri"/>
                <w:color w:val="002060"/>
              </w:rPr>
              <w:t>-</w:t>
            </w:r>
            <w:r w:rsidR="00F34ABA" w:rsidRPr="00377BC4">
              <w:rPr>
                <w:rFonts w:ascii="Calibri" w:hAnsi="Calibri" w:cs="Calibri"/>
                <w:color w:val="002060"/>
              </w:rPr>
              <w:t>3</w:t>
            </w:r>
            <w:r w:rsidRPr="00377BC4">
              <w:rPr>
                <w:rFonts w:ascii="Calibri" w:hAnsi="Calibri" w:cs="Calibri"/>
                <w:color w:val="002060"/>
              </w:rPr>
              <w:t>.</w:t>
            </w:r>
            <w:r w:rsidR="00F34ABA" w:rsidRPr="00377BC4">
              <w:rPr>
                <w:rFonts w:ascii="Calibri" w:hAnsi="Calibri" w:cs="Calibri"/>
                <w:color w:val="002060"/>
              </w:rPr>
              <w:t>4</w:t>
            </w:r>
            <w:r w:rsidRPr="00377BC4">
              <w:rPr>
                <w:rFonts w:ascii="Calibri" w:hAnsi="Calibri" w:cs="Calibri"/>
                <w:color w:val="002060"/>
              </w:rPr>
              <w:t xml:space="preserve"> pour </w:t>
            </w:r>
            <w:r w:rsidR="00F34ABA" w:rsidRPr="00377BC4">
              <w:rPr>
                <w:rFonts w:ascii="Calibri" w:hAnsi="Calibri" w:cs="Calibri"/>
                <w:color w:val="002060"/>
              </w:rPr>
              <w:t>la mise à l'air libre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2C4CDA" w:rsidRPr="00891F7D" w:rsidRDefault="002C4CDA" w:rsidP="002C4CDA">
            <w:pPr>
              <w:jc w:val="left"/>
              <w:rPr>
                <w:rFonts w:ascii="Calibri" w:hAnsi="Calibri" w:cs="Calibri"/>
                <w:color w:val="002060"/>
                <w:spacing w:val="-8"/>
              </w:rPr>
            </w:pPr>
            <w:r w:rsidRPr="00891F7D">
              <w:rPr>
                <w:rFonts w:ascii="Calibri" w:hAnsi="Calibri" w:cs="Calibri"/>
                <w:color w:val="002060"/>
                <w:spacing w:val="-8"/>
              </w:rPr>
              <w:t>Coupure automatique de carburant obligatoire</w:t>
            </w:r>
          </w:p>
          <w:p w:rsidR="001644A6" w:rsidRPr="00377BC4" w:rsidRDefault="002C4CDA" w:rsidP="00167D83">
            <w:pPr>
              <w:jc w:val="left"/>
              <w:rPr>
                <w:rFonts w:ascii="Calibri" w:hAnsi="Calibri" w:cs="Calibri"/>
                <w:b/>
                <w:color w:val="002060"/>
              </w:rPr>
            </w:pPr>
            <w:r w:rsidRPr="00377BC4">
              <w:rPr>
                <w:rFonts w:ascii="Calibri" w:hAnsi="Calibri" w:cs="Calibri"/>
                <w:b/>
                <w:color w:val="002060"/>
              </w:rPr>
              <w:t>Uniquement pour véhicules type GT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253-3.3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891F7D" w:rsidRDefault="002C4CDA" w:rsidP="008B6817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</w:t>
            </w:r>
            <w:r w:rsidR="008B6817" w:rsidRPr="00891F7D">
              <w:rPr>
                <w:rFonts w:ascii="Calibri" w:hAnsi="Calibri" w:cs="Calibri"/>
                <w:color w:val="002060"/>
                <w:spacing w:val="-6"/>
              </w:rPr>
              <w:t xml:space="preserve"> de carburant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, pompes et filtres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253-3.1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="009370B9" w:rsidRPr="00377BC4">
              <w:rPr>
                <w:rFonts w:ascii="Calibri" w:hAnsi="Calibri" w:cs="Calibri"/>
                <w:color w:val="002060"/>
              </w:rPr>
              <w:t xml:space="preserve">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A508E4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891F7D" w:rsidRDefault="002C4CDA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 (sauf pour les véhicules à moteur arrière)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275-10.3.1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Pr="00377BC4">
              <w:rPr>
                <w:rFonts w:ascii="Calibri" w:hAnsi="Calibri" w:cs="Calibri"/>
                <w:color w:val="002060"/>
              </w:rPr>
              <w:t xml:space="preserve">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16F2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377BC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6F24" w:rsidRPr="00377BC4" w:rsidRDefault="00816F24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6F24" w:rsidRPr="00377BC4" w:rsidRDefault="009370B9" w:rsidP="000C41DD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</w:t>
            </w:r>
            <w:r w:rsidR="00863069" w:rsidRPr="00377BC4">
              <w:rPr>
                <w:rFonts w:ascii="Calibri" w:hAnsi="Calibri" w:cs="Calibri"/>
                <w:color w:val="002060"/>
              </w:rPr>
              <w:t>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377BC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377BC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377BC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C357A7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</w:t>
            </w:r>
            <w:r w:rsidR="009370B9" w:rsidRPr="00377BC4">
              <w:rPr>
                <w:rFonts w:ascii="Calibri" w:hAnsi="Calibri" w:cs="Calibri"/>
                <w:color w:val="002060"/>
              </w:rPr>
              <w:t>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A48C1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</w:t>
            </w:r>
            <w:r w:rsidR="00C357A7" w:rsidRPr="00377BC4">
              <w:rPr>
                <w:rFonts w:ascii="Calibri" w:hAnsi="Calibri" w:cs="Calibri"/>
                <w:color w:val="002060"/>
              </w:rPr>
              <w:t xml:space="preserve"> essuie-glace en état de marche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A48C1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</w:t>
            </w:r>
            <w:r w:rsidR="00C357A7" w:rsidRPr="00377BC4">
              <w:rPr>
                <w:rFonts w:ascii="Calibri" w:hAnsi="Calibri" w:cs="Calibri"/>
                <w:color w:val="002060"/>
              </w:rPr>
              <w:t xml:space="preserve"> système de désembuage efficace </w:t>
            </w: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9E022F">
              <w:rPr>
                <w:rFonts w:ascii="Calibri" w:hAnsi="Calibri" w:cs="Calibri"/>
                <w:color w:val="002060"/>
              </w:rPr>
              <w:t>b</w:t>
            </w:r>
            <w:r w:rsidR="00C357A7" w:rsidRPr="00377BC4">
              <w:rPr>
                <w:rFonts w:ascii="Calibri" w:hAnsi="Calibri" w:cs="Calibri"/>
                <w:color w:val="002060"/>
              </w:rPr>
              <w:t>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</w:t>
            </w:r>
            <w:r w:rsidR="00C357A7" w:rsidRPr="00377BC4">
              <w:rPr>
                <w:rFonts w:ascii="Calibri" w:hAnsi="Calibri" w:cs="Calibri"/>
                <w:color w:val="002060"/>
              </w:rPr>
              <w:t>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357A7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B695F" w:rsidRPr="00377BC4" w:rsidRDefault="00FB695F" w:rsidP="00FB695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B695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2C36AA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9370B9" w:rsidRPr="00377BC4" w:rsidRDefault="009370B9" w:rsidP="001644A6">
      <w:pPr>
        <w:rPr>
          <w:rFonts w:ascii="Calibri" w:hAnsi="Calibri" w:cs="Calibri"/>
          <w:color w:val="002060"/>
          <w:sz w:val="18"/>
        </w:rPr>
      </w:pPr>
    </w:p>
    <w:p w:rsidR="009370B9" w:rsidRPr="00377BC4" w:rsidRDefault="001644A6" w:rsidP="001644A6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</w:t>
      </w:r>
      <w:r w:rsidR="00167D83" w:rsidRPr="00377BC4">
        <w:rPr>
          <w:rFonts w:ascii="Calibri" w:hAnsi="Calibri" w:cs="Calibri"/>
          <w:color w:val="002060"/>
          <w:sz w:val="18"/>
          <w:highlight w:val="cyan"/>
        </w:rPr>
        <w:t>Cette page peut être dupliquée</w:t>
      </w:r>
      <w:r w:rsidR="00FB695F" w:rsidRPr="00377BC4">
        <w:rPr>
          <w:rFonts w:ascii="Calibri" w:hAnsi="Calibri" w:cs="Calibri"/>
          <w:color w:val="002060"/>
          <w:sz w:val="18"/>
          <w:highlight w:val="cyan"/>
        </w:rPr>
        <w:t xml:space="preserve"> si plusieurs catégories de v</w:t>
      </w:r>
      <w:r w:rsidR="004274F6" w:rsidRPr="00377BC4">
        <w:rPr>
          <w:rFonts w:ascii="Calibri" w:hAnsi="Calibri" w:cs="Calibri"/>
          <w:color w:val="002060"/>
          <w:sz w:val="18"/>
          <w:highlight w:val="cyan"/>
        </w:rPr>
        <w:t>éhicules sont assimilables aux C</w:t>
      </w:r>
      <w:r w:rsidR="009370B9" w:rsidRPr="00377BC4">
        <w:rPr>
          <w:rFonts w:ascii="Calibri" w:hAnsi="Calibri" w:cs="Calibri"/>
          <w:color w:val="002060"/>
          <w:sz w:val="18"/>
          <w:highlight w:val="cyan"/>
        </w:rPr>
        <w:t>atégories II-SH</w:t>
      </w:r>
    </w:p>
    <w:p w:rsidR="009370B9" w:rsidRDefault="009370B9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 w:rsidRPr="00377BC4"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8"/>
        <w:gridCol w:w="1475"/>
        <w:gridCol w:w="2380"/>
        <w:gridCol w:w="1020"/>
        <w:gridCol w:w="1023"/>
        <w:gridCol w:w="284"/>
      </w:tblGrid>
      <w:tr w:rsidR="00377BC4" w:rsidRPr="00377BC4" w:rsidTr="009E022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377BC4" w:rsidRPr="00377BC4" w:rsidRDefault="00377BC4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LES VEHICULES </w:t>
            </w:r>
            <w:r w:rsidR="009E022F" w:rsidRP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DE TYPE TOUT-TERRAIN</w:t>
            </w:r>
            <w:r w:rsidR="009E022F" w:rsidRP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</w:t>
            </w:r>
            <w:r w:rsid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.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281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377BC4" w:rsidRPr="00377BC4" w:rsidTr="009E022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377BC4" w:rsidRPr="00377BC4" w:rsidRDefault="00377BC4" w:rsidP="000736B0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9E022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</w:t>
            </w:r>
            <w:r w:rsidR="00377BC4" w:rsidRPr="00377BC4">
              <w:rPr>
                <w:rFonts w:ascii="Calibri" w:hAnsi="Calibri" w:cs="Calibri"/>
                <w:color w:val="002060"/>
              </w:rPr>
              <w:t>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</w:t>
            </w:r>
            <w:r w:rsidR="009E022F">
              <w:rPr>
                <w:rFonts w:ascii="Calibri" w:hAnsi="Calibri" w:cs="Calibri"/>
                <w:color w:val="002060"/>
              </w:rPr>
              <w:t>ervoir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9E022F">
            <w:pPr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Spécification FT3, FT3.5 ou FT5 obligatoire, dans le respect des prescriptions de l’Art. 283-14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891F7D" w:rsidRDefault="00377BC4" w:rsidP="000736B0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3-3.1 et 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83-1</w:t>
            </w:r>
            <w:r w:rsidRPr="00377BC4">
              <w:rPr>
                <w:rFonts w:ascii="Calibri" w:hAnsi="Calibri" w:cs="Calibri"/>
                <w:color w:val="002060"/>
              </w:rPr>
              <w:t>4</w:t>
            </w:r>
            <w:r w:rsidR="009E022F">
              <w:rPr>
                <w:rFonts w:ascii="Calibri" w:hAnsi="Calibri" w:cs="Calibri"/>
                <w:color w:val="002060"/>
              </w:rPr>
              <w:t>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d’huile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A508E4" w:rsidP="00A508E4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</w:t>
            </w:r>
            <w:r w:rsidR="00377BC4" w:rsidRPr="00377BC4">
              <w:rPr>
                <w:rFonts w:ascii="Calibri" w:hAnsi="Calibri" w:cs="Calibri"/>
                <w:color w:val="002060"/>
              </w:rPr>
              <w:t>-</w:t>
            </w:r>
            <w:r>
              <w:rPr>
                <w:rFonts w:ascii="Calibri" w:hAnsi="Calibri" w:cs="Calibri"/>
                <w:color w:val="002060"/>
              </w:rPr>
              <w:t>5.2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Equipement lumineux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</w:t>
            </w:r>
            <w:r w:rsidR="00A508E4">
              <w:rPr>
                <w:rFonts w:ascii="Calibri" w:hAnsi="Calibri" w:cs="Calibri"/>
                <w:color w:val="002060"/>
              </w:rPr>
              <w:t>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essuie-glace en état de marche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système de désembuage efficace o</w:t>
            </w:r>
            <w:r w:rsidR="009E022F">
              <w:rPr>
                <w:rFonts w:ascii="Calibri" w:hAnsi="Calibri" w:cs="Calibri"/>
                <w:color w:val="002060"/>
              </w:rPr>
              <w:t>b</w:t>
            </w:r>
            <w:r w:rsidRPr="00377BC4">
              <w:rPr>
                <w:rFonts w:ascii="Calibri" w:hAnsi="Calibri" w:cs="Calibri"/>
                <w:color w:val="002060"/>
              </w:rPr>
              <w:t>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9E022F">
            <w:pPr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Chaque batterie doit être fixée solidement et couverte de façon à éviter tout court-circuit ou fuite de liquide.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:rsidTr="000736B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77BC4" w:rsidRPr="00377BC4" w:rsidRDefault="00377BC4" w:rsidP="000736B0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377BC4" w:rsidRPr="00377BC4" w:rsidRDefault="00377BC4" w:rsidP="00377BC4">
      <w:pPr>
        <w:rPr>
          <w:rFonts w:ascii="Calibri" w:hAnsi="Calibri" w:cs="Calibri"/>
          <w:color w:val="002060"/>
          <w:sz w:val="18"/>
        </w:rPr>
      </w:pPr>
    </w:p>
    <w:p w:rsidR="00377BC4" w:rsidRPr="00377BC4" w:rsidRDefault="00377BC4" w:rsidP="00377BC4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II-SH</w:t>
      </w:r>
    </w:p>
    <w:p w:rsidR="00377BC4" w:rsidRPr="00377BC4" w:rsidRDefault="00377BC4" w:rsidP="00377BC4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 w:rsidRPr="00377BC4"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1474"/>
        <w:gridCol w:w="2377"/>
        <w:gridCol w:w="1019"/>
        <w:gridCol w:w="1022"/>
        <w:gridCol w:w="285"/>
        <w:gridCol w:w="9"/>
      </w:tblGrid>
      <w:tr w:rsidR="009370B9" w:rsidRPr="00377BC4" w:rsidTr="00E4313B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9370B9" w:rsidRPr="00377BC4" w:rsidRDefault="009370B9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 w:rsid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29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9370B9" w:rsidRPr="00377BC4" w:rsidRDefault="009370B9" w:rsidP="00617CE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LES VEHICULES ASSIMILABLES </w:t>
            </w:r>
            <w:r w:rsidR="005E6F67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II-SC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251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9370B9" w:rsidRPr="00377BC4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:rsidTr="00A508E4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:rsidR="009370B9" w:rsidRPr="00377BC4" w:rsidRDefault="009370B9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 - Cas général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259-6.3 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891F7D" w:rsidRDefault="009370B9" w:rsidP="00C441F9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863069" w:rsidP="0086306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253-3.1 et </w:t>
            </w:r>
            <w:r w:rsidR="009370B9"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0736B0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d’huile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891F7D" w:rsidRDefault="009370B9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d’huile (sauf pour les véhicules à moteur arrière)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275-10.3.1 et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275-14.3.1+14.3.2+14.3.4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Appuie-tête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5E6F67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259-3.6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essuie-glace en état de marche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1 système de désembuage efficace </w:t>
            </w:r>
            <w:r w:rsidR="00863069" w:rsidRPr="00377BC4">
              <w:rPr>
                <w:rFonts w:ascii="Calibri" w:hAnsi="Calibri" w:cs="Calibri"/>
                <w:color w:val="002060"/>
              </w:rPr>
              <w:t>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259-15.1 (</w:t>
            </w:r>
            <w:r w:rsidR="005E6F67" w:rsidRPr="00377BC4">
              <w:rPr>
                <w:rFonts w:ascii="Calibri" w:hAnsi="Calibri" w:cs="Calibri"/>
                <w:color w:val="002060"/>
              </w:rPr>
              <w:t xml:space="preserve">véhicules </w:t>
            </w:r>
            <w:r w:rsidRPr="00377BC4">
              <w:rPr>
                <w:rFonts w:ascii="Calibri" w:hAnsi="Calibri" w:cs="Calibri"/>
                <w:color w:val="002060"/>
              </w:rPr>
              <w:t xml:space="preserve">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 xml:space="preserve">avant </w:t>
            </w:r>
            <w:r w:rsidRPr="00377BC4">
              <w:rPr>
                <w:rFonts w:ascii="Calibri" w:hAnsi="Calibri" w:cs="Calibri"/>
                <w:color w:val="002060"/>
              </w:rPr>
              <w:t>01.01.2004)</w:t>
            </w:r>
          </w:p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 (</w:t>
            </w:r>
            <w:r w:rsidR="005E6F67" w:rsidRPr="00377BC4">
              <w:rPr>
                <w:rFonts w:ascii="Calibri" w:hAnsi="Calibri" w:cs="Calibri"/>
                <w:color w:val="002060"/>
              </w:rPr>
              <w:t xml:space="preserve">véhicules </w:t>
            </w:r>
            <w:r w:rsidRPr="00377BC4">
              <w:rPr>
                <w:rFonts w:ascii="Calibri" w:hAnsi="Calibri" w:cs="Calibri"/>
                <w:color w:val="002060"/>
              </w:rPr>
              <w:t xml:space="preserve">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01.01.2004)</w:t>
            </w:r>
          </w:p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 (véhicules tout-terrain)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E6F67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</w:t>
            </w:r>
          </w:p>
          <w:p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 (véhicules tout-terrain)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5E6F67" w:rsidRPr="00377BC4" w:rsidRDefault="005E6F67" w:rsidP="001644A6">
      <w:pPr>
        <w:rPr>
          <w:rFonts w:ascii="Calibri" w:hAnsi="Calibri" w:cs="Calibri"/>
          <w:color w:val="002060"/>
          <w:sz w:val="18"/>
        </w:rPr>
      </w:pPr>
    </w:p>
    <w:p w:rsidR="001644A6" w:rsidRPr="00377BC4" w:rsidRDefault="009370B9" w:rsidP="001644A6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II-SH et/ou II-SC</w:t>
      </w:r>
      <w:r w:rsidRPr="00377BC4">
        <w:rPr>
          <w:rFonts w:ascii="Calibri" w:hAnsi="Calibri" w:cs="Calibri"/>
          <w:color w:val="002060"/>
          <w:sz w:val="20"/>
        </w:rPr>
        <w:t xml:space="preserve"> </w:t>
      </w:r>
      <w:r w:rsidR="001644A6"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1473"/>
        <w:gridCol w:w="2377"/>
        <w:gridCol w:w="1019"/>
        <w:gridCol w:w="1022"/>
        <w:gridCol w:w="285"/>
        <w:gridCol w:w="9"/>
      </w:tblGrid>
      <w:tr w:rsidR="001A48C1" w:rsidRPr="00377BC4" w:rsidTr="00A0196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377BC4" w:rsidRDefault="001644A6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 w:rsid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9129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377BC4" w:rsidRDefault="00167D83" w:rsidP="00FB695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3F7E0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POUR LES VEHICULES ASSIMILABLES A LA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</w:t>
            </w:r>
            <w:r w:rsidR="00FB695F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II-SS</w:t>
            </w:r>
          </w:p>
        </w:tc>
      </w:tr>
      <w:tr w:rsidR="001644A6" w:rsidRPr="00377BC4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</w:t>
            </w:r>
            <w:r w:rsidR="001644A6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:rsidR="001644A6" w:rsidRPr="00377BC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3F7E09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A0196D" w:rsidRPr="00377BC4" w:rsidTr="00A0196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3F7E09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Annexe 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3F7E0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</w:t>
            </w:r>
            <w:r w:rsidR="003F7E09" w:rsidRPr="00377BC4">
              <w:rPr>
                <w:rFonts w:ascii="Calibri" w:hAnsi="Calibri" w:cs="Calibri"/>
                <w:b/>
                <w:color w:val="002060"/>
                <w:sz w:val="18"/>
              </w:rPr>
              <w:t>onformité</w:t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0196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3F7E09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3F7E09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259-6.3</w:t>
            </w:r>
          </w:p>
          <w:p w:rsidR="001644A6" w:rsidRPr="00377BC4" w:rsidRDefault="001644A6" w:rsidP="008F50F2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275-6.1 (</w:t>
            </w:r>
            <w:r w:rsidR="008F50F2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B6817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891F7D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8F50F2" w:rsidRPr="00377BC4">
              <w:rPr>
                <w:rFonts w:ascii="Calibri" w:hAnsi="Calibri" w:cs="Calibri"/>
                <w:color w:val="002060"/>
              </w:rPr>
              <w:t>rifices de remplissage et bouchons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0736B0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891F7D" w:rsidRDefault="00E65083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275-10.3.1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Pr="00377BC4">
              <w:rPr>
                <w:rFonts w:ascii="Calibri" w:hAnsi="Calibri" w:cs="Calibri"/>
                <w:color w:val="002060"/>
              </w:rPr>
              <w:t xml:space="preserve"> 275-10.2</w:t>
            </w:r>
          </w:p>
          <w:p w:rsidR="001644A6" w:rsidRPr="00891F7D" w:rsidRDefault="001644A6" w:rsidP="004274F6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 xml:space="preserve">275-10.2 </w:t>
            </w:r>
            <w:r w:rsidR="004274F6" w:rsidRPr="00891F7D">
              <w:rPr>
                <w:rFonts w:ascii="Calibri" w:hAnsi="Calibri" w:cs="Calibri"/>
                <w:color w:val="002060"/>
                <w:spacing w:val="-6"/>
              </w:rPr>
              <w:t>et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 xml:space="preserve"> 10.3 (</w:t>
            </w:r>
            <w:r w:rsidR="00FC7C43" w:rsidRPr="00891F7D">
              <w:rPr>
                <w:rFonts w:ascii="Calibri" w:hAnsi="Calibri" w:cs="Calibri"/>
                <w:color w:val="002060"/>
                <w:spacing w:val="-6"/>
              </w:rPr>
              <w:t xml:space="preserve">véhicules construits à partir du 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Ouverture de l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FC7C43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275-13.1 (</w:t>
            </w:r>
            <w:r w:rsidR="00FC7C43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CF0994" w:rsidP="00CF099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Système d'e</w:t>
            </w:r>
            <w:r w:rsidR="00992FD1" w:rsidRPr="00377BC4">
              <w:rPr>
                <w:rFonts w:ascii="Calibri" w:hAnsi="Calibri" w:cs="Calibri"/>
                <w:color w:val="002060"/>
              </w:rPr>
              <w:t>xtinct</w:t>
            </w:r>
            <w:r w:rsidRPr="00377BC4">
              <w:rPr>
                <w:rFonts w:ascii="Calibri" w:hAnsi="Calibri" w:cs="Calibri"/>
                <w:color w:val="002060"/>
              </w:rPr>
              <w:t>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Appuie-tête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Fixation et retrait des 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275-14.7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Colonne de direction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E60E33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275-10.</w:t>
            </w:r>
            <w:r w:rsidR="00E60E33" w:rsidRPr="00377BC4">
              <w:rPr>
                <w:rFonts w:ascii="Calibri" w:hAnsi="Calibri" w:cs="Calibri"/>
                <w:color w:val="002060"/>
              </w:rPr>
              <w:t>6</w:t>
            </w:r>
            <w:r w:rsidRPr="00377BC4">
              <w:rPr>
                <w:rFonts w:ascii="Calibri" w:hAnsi="Calibri" w:cs="Calibri"/>
                <w:color w:val="002060"/>
              </w:rPr>
              <w:t>.3 (</w:t>
            </w:r>
            <w:r w:rsidR="00992FD1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Barres anti-intrusion </w:t>
            </w:r>
            <w:r w:rsidR="008B6817" w:rsidRPr="00377BC4">
              <w:rPr>
                <w:rFonts w:ascii="Calibri" w:hAnsi="Calibri" w:cs="Calibri"/>
                <w:color w:val="002060"/>
              </w:rPr>
              <w:t>des</w:t>
            </w:r>
            <w:r w:rsidRPr="00377BC4">
              <w:rPr>
                <w:rFonts w:ascii="Calibri" w:hAnsi="Calibri" w:cs="Calibri"/>
                <w:color w:val="002060"/>
              </w:rPr>
              <w:t xml:space="preserve"> suspension</w:t>
            </w:r>
            <w:r w:rsidR="008B6817" w:rsidRPr="00377BC4">
              <w:rPr>
                <w:rFonts w:ascii="Calibri" w:hAnsi="Calibri" w:cs="Calibri"/>
                <w:color w:val="002060"/>
              </w:rPr>
              <w:t>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277-2.2.1.1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</w:t>
            </w:r>
            <w:r w:rsidR="001644A6" w:rsidRPr="00377BC4">
              <w:rPr>
                <w:rFonts w:ascii="Calibri" w:hAnsi="Calibri" w:cs="Calibri"/>
                <w:color w:val="002060"/>
              </w:rPr>
              <w:t>osition</w:t>
            </w:r>
            <w:r w:rsidRPr="00377BC4">
              <w:rPr>
                <w:rFonts w:ascii="Calibri" w:hAnsi="Calibri" w:cs="Calibri"/>
                <w:color w:val="002060"/>
              </w:rPr>
              <w:t xml:space="preserve"> des pédales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E60E33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275-15.3.</w:t>
            </w:r>
            <w:r w:rsidR="00E60E33" w:rsidRPr="00377BC4">
              <w:rPr>
                <w:rFonts w:ascii="Calibri" w:hAnsi="Calibri" w:cs="Calibri"/>
                <w:color w:val="002060"/>
              </w:rPr>
              <w:t>4</w:t>
            </w:r>
            <w:r w:rsidRPr="00377BC4">
              <w:rPr>
                <w:rFonts w:ascii="Calibri" w:hAnsi="Calibri" w:cs="Calibri"/>
                <w:color w:val="002060"/>
              </w:rPr>
              <w:t xml:space="preserve">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277-2.1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Pr="00377BC4">
              <w:rPr>
                <w:rFonts w:ascii="Calibri" w:hAnsi="Calibri" w:cs="Calibri"/>
                <w:color w:val="002060"/>
              </w:rPr>
              <w:t xml:space="preserve"> 277-2.1.1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</w:t>
            </w:r>
            <w:r w:rsidR="001644A6" w:rsidRPr="00377BC4">
              <w:rPr>
                <w:rFonts w:ascii="Calibri" w:hAnsi="Calibri" w:cs="Calibri"/>
                <w:color w:val="002060"/>
              </w:rPr>
              <w:t>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67F1C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:rsidR="000431EC" w:rsidRPr="00377BC4" w:rsidRDefault="000431EC" w:rsidP="000431EC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II-SS</w:t>
      </w:r>
    </w:p>
    <w:p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1474"/>
        <w:gridCol w:w="2377"/>
        <w:gridCol w:w="1019"/>
        <w:gridCol w:w="1022"/>
        <w:gridCol w:w="285"/>
        <w:gridCol w:w="9"/>
      </w:tblGrid>
      <w:tr w:rsidR="00BF1554" w:rsidRPr="00377BC4" w:rsidTr="00CE2CA1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B3</w:t>
            </w:r>
          </w:p>
        </w:tc>
        <w:tc>
          <w:tcPr>
            <w:tcW w:w="9129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377BC4" w:rsidRDefault="008D2DB2" w:rsidP="00C4657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9B73E5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POUR LES VEHICULES ASSIMILABLES A LA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4274F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III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251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1644A6" w:rsidRPr="00377BC4" w:rsidTr="00CE2CA1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A508E4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9B73E5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:rsidR="001644A6" w:rsidRPr="00377BC4" w:rsidRDefault="001644A6" w:rsidP="00D766E1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D766E1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E2CA1" w:rsidRPr="00377BC4" w:rsidTr="00C441F9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2CA1" w:rsidRPr="00377BC4" w:rsidRDefault="00CE2CA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E2CA1" w:rsidRPr="00377BC4" w:rsidTr="009E022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D766E1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D766E1" w:rsidRPr="00377BC4">
              <w:rPr>
                <w:rFonts w:ascii="Calibri" w:hAnsi="Calibri" w:cs="Calibri"/>
                <w:b/>
                <w:color w:val="002060"/>
                <w:sz w:val="18"/>
              </w:rPr>
              <w:t>Annexe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D766E1" w:rsidP="00C4657F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D766E1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D766E1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B6817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891F7D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1B1859" w:rsidRPr="00377BC4">
              <w:rPr>
                <w:rFonts w:ascii="Calibri" w:hAnsi="Calibri" w:cs="Calibri"/>
                <w:color w:val="002060"/>
              </w:rPr>
              <w:t>rifices de remplissage et bouchons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:rsidTr="000736B0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E022F" w:rsidRPr="00377BC4" w:rsidRDefault="009E022F" w:rsidP="000736B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891F7D" w:rsidRDefault="001B1859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275-10.3.1 et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</w:t>
            </w:r>
            <w:r w:rsidR="008B6817" w:rsidRPr="00377BC4">
              <w:rPr>
                <w:rFonts w:ascii="Calibri" w:hAnsi="Calibri" w:cs="Calibri"/>
                <w:color w:val="002060"/>
              </w:rPr>
              <w:t>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290.2.7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290.2.13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1B1859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AC252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463C7D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287-3.1 </w:t>
            </w:r>
            <w:r w:rsidR="00463C7D" w:rsidRPr="00377BC4">
              <w:rPr>
                <w:rFonts w:ascii="Calibri" w:hAnsi="Calibri" w:cs="Calibri"/>
                <w:color w:val="002060"/>
              </w:rPr>
              <w:t>ou</w:t>
            </w:r>
            <w:r w:rsidRPr="00377BC4">
              <w:rPr>
                <w:rFonts w:ascii="Calibri" w:hAnsi="Calibri" w:cs="Calibri"/>
                <w:color w:val="002060"/>
              </w:rPr>
              <w:t xml:space="preserve"> 290-2.9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9E022F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AC252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00B050"/>
              </w:rPr>
            </w:r>
            <w:r w:rsidR="00073BC0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073BC0">
              <w:rPr>
                <w:rFonts w:ascii="Calibri" w:hAnsi="Calibri" w:cs="Calibri"/>
                <w:b/>
                <w:color w:val="FF0000"/>
              </w:rPr>
            </w:r>
            <w:r w:rsidR="00073BC0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:rsidTr="00CE2CA1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:rsidR="008D2DB2" w:rsidRPr="00377BC4" w:rsidRDefault="008D2DB2" w:rsidP="008D2DB2">
      <w:pPr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377BC4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assimilables aux Catégories III</w:t>
      </w:r>
    </w:p>
    <w:sectPr w:rsidR="008D2DB2" w:rsidRPr="00377BC4" w:rsidSect="001A48C1">
      <w:footerReference w:type="default" r:id="rId9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C0" w:rsidRDefault="00073BC0">
      <w:r>
        <w:separator/>
      </w:r>
    </w:p>
    <w:p w:rsidR="00073BC0" w:rsidRDefault="00073BC0"/>
  </w:endnote>
  <w:endnote w:type="continuationSeparator" w:id="0">
    <w:p w:rsidR="00073BC0" w:rsidRDefault="00073BC0">
      <w:r>
        <w:continuationSeparator/>
      </w:r>
    </w:p>
    <w:p w:rsidR="00073BC0" w:rsidRDefault="00073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F9" w:rsidRPr="001A48C1" w:rsidRDefault="00C441F9" w:rsidP="001B259C">
    <w:pPr>
      <w:pStyle w:val="Footer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2021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 w:rsidR="00891F7D">
      <w:rPr>
        <w:color w:val="002060"/>
        <w:lang w:val="en-GB"/>
      </w:rPr>
      <w:t>9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>
      <w:rPr>
        <w:color w:val="002060"/>
        <w:lang w:val="en-GB"/>
      </w:rPr>
      <w:t>6</w:t>
    </w:r>
    <w:r w:rsidRPr="001A48C1">
      <w:rPr>
        <w:color w:val="002060"/>
        <w:lang w:val="en-GB"/>
      </w:rPr>
      <w:tab/>
    </w:r>
    <w:r>
      <w:rPr>
        <w:color w:val="002060"/>
        <w:lang w:val="en-GB"/>
      </w:rPr>
      <w:t>04.09.2020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C0" w:rsidRDefault="00073BC0">
      <w:r>
        <w:separator/>
      </w:r>
    </w:p>
    <w:p w:rsidR="00073BC0" w:rsidRDefault="00073BC0"/>
  </w:footnote>
  <w:footnote w:type="continuationSeparator" w:id="0">
    <w:p w:rsidR="00073BC0" w:rsidRDefault="00073BC0">
      <w:r>
        <w:continuationSeparator/>
      </w:r>
    </w:p>
    <w:p w:rsidR="00073BC0" w:rsidRDefault="00073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8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3BC0"/>
    <w:rsid w:val="00076A18"/>
    <w:rsid w:val="00084696"/>
    <w:rsid w:val="00087148"/>
    <w:rsid w:val="00090A76"/>
    <w:rsid w:val="000920EF"/>
    <w:rsid w:val="00095186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F2FE7"/>
    <w:rsid w:val="000F333C"/>
    <w:rsid w:val="000F3378"/>
    <w:rsid w:val="000F4275"/>
    <w:rsid w:val="0010090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90C74"/>
    <w:rsid w:val="00294B27"/>
    <w:rsid w:val="002957A7"/>
    <w:rsid w:val="002959A5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36AA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64BC"/>
    <w:rsid w:val="002F0B28"/>
    <w:rsid w:val="002F7735"/>
    <w:rsid w:val="0030128B"/>
    <w:rsid w:val="00312E70"/>
    <w:rsid w:val="00312EE3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78E"/>
    <w:rsid w:val="003701C5"/>
    <w:rsid w:val="00371354"/>
    <w:rsid w:val="003743F9"/>
    <w:rsid w:val="00375567"/>
    <w:rsid w:val="00377BC4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6024"/>
    <w:rsid w:val="00497B75"/>
    <w:rsid w:val="004A304F"/>
    <w:rsid w:val="004A5DE3"/>
    <w:rsid w:val="004B0712"/>
    <w:rsid w:val="004B181B"/>
    <w:rsid w:val="004B5654"/>
    <w:rsid w:val="004C41FB"/>
    <w:rsid w:val="004C6362"/>
    <w:rsid w:val="004C6BC3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7CC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E6F67"/>
    <w:rsid w:val="005E7805"/>
    <w:rsid w:val="005F01FE"/>
    <w:rsid w:val="005F09BB"/>
    <w:rsid w:val="005F117E"/>
    <w:rsid w:val="005F688C"/>
    <w:rsid w:val="00612E61"/>
    <w:rsid w:val="00617C1F"/>
    <w:rsid w:val="00617CEB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76DE"/>
    <w:rsid w:val="00740456"/>
    <w:rsid w:val="00743270"/>
    <w:rsid w:val="00744234"/>
    <w:rsid w:val="00744F52"/>
    <w:rsid w:val="0074559E"/>
    <w:rsid w:val="00746F25"/>
    <w:rsid w:val="007518C9"/>
    <w:rsid w:val="00752750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400A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5088E"/>
    <w:rsid w:val="00856C8A"/>
    <w:rsid w:val="0085718A"/>
    <w:rsid w:val="00861B27"/>
    <w:rsid w:val="00863069"/>
    <w:rsid w:val="008641C2"/>
    <w:rsid w:val="00872DED"/>
    <w:rsid w:val="00876BBE"/>
    <w:rsid w:val="00882ACB"/>
    <w:rsid w:val="00887488"/>
    <w:rsid w:val="00891F7D"/>
    <w:rsid w:val="00894056"/>
    <w:rsid w:val="00894578"/>
    <w:rsid w:val="00894E2C"/>
    <w:rsid w:val="008953CC"/>
    <w:rsid w:val="00897F17"/>
    <w:rsid w:val="008A0A0B"/>
    <w:rsid w:val="008A344B"/>
    <w:rsid w:val="008A5B7F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41E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D4D"/>
    <w:rsid w:val="009364CC"/>
    <w:rsid w:val="009370B9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022F"/>
    <w:rsid w:val="009E3860"/>
    <w:rsid w:val="009F1B9B"/>
    <w:rsid w:val="009F7EA3"/>
    <w:rsid w:val="00A00212"/>
    <w:rsid w:val="00A0196D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08E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67F1C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21262"/>
    <w:rsid w:val="00B2276B"/>
    <w:rsid w:val="00B23296"/>
    <w:rsid w:val="00B23BD2"/>
    <w:rsid w:val="00B23DB4"/>
    <w:rsid w:val="00B25D44"/>
    <w:rsid w:val="00B26BAD"/>
    <w:rsid w:val="00B31CCC"/>
    <w:rsid w:val="00B32F39"/>
    <w:rsid w:val="00B422E4"/>
    <w:rsid w:val="00B43CEF"/>
    <w:rsid w:val="00B440AD"/>
    <w:rsid w:val="00B460BE"/>
    <w:rsid w:val="00B47078"/>
    <w:rsid w:val="00B57DCC"/>
    <w:rsid w:val="00B61EB8"/>
    <w:rsid w:val="00B648AA"/>
    <w:rsid w:val="00B658D5"/>
    <w:rsid w:val="00B71394"/>
    <w:rsid w:val="00B74840"/>
    <w:rsid w:val="00B8229A"/>
    <w:rsid w:val="00B82B7F"/>
    <w:rsid w:val="00B86627"/>
    <w:rsid w:val="00B86C51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41F9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5176"/>
    <w:rsid w:val="00C656EB"/>
    <w:rsid w:val="00C74C90"/>
    <w:rsid w:val="00C74D29"/>
    <w:rsid w:val="00C754FA"/>
    <w:rsid w:val="00C76CFA"/>
    <w:rsid w:val="00C77568"/>
    <w:rsid w:val="00C81DEA"/>
    <w:rsid w:val="00C82E2C"/>
    <w:rsid w:val="00C83DED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E03BE"/>
    <w:rsid w:val="00CE0F77"/>
    <w:rsid w:val="00CE2652"/>
    <w:rsid w:val="00CE2CA1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027A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54E0"/>
    <w:rsid w:val="00E30DF3"/>
    <w:rsid w:val="00E315B6"/>
    <w:rsid w:val="00E3481F"/>
    <w:rsid w:val="00E35E2E"/>
    <w:rsid w:val="00E36689"/>
    <w:rsid w:val="00E4313B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9056C"/>
    <w:rsid w:val="00E92BDE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1A7"/>
    <w:rsid w:val="00EC4CA9"/>
    <w:rsid w:val="00EC572C"/>
    <w:rsid w:val="00ED0CC8"/>
    <w:rsid w:val="00ED1F48"/>
    <w:rsid w:val="00ED20D5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6676C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C22"/>
    <w:rsid w:val="00FA353D"/>
    <w:rsid w:val="00FA7181"/>
    <w:rsid w:val="00FA7B1A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E022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Heading1">
    <w:name w:val="heading 1"/>
    <w:basedOn w:val="Normal"/>
    <w:next w:val="Normal"/>
    <w:rsid w:val="00E56299"/>
    <w:pPr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Footer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TableGrid">
    <w:name w:val="Table Grid"/>
    <w:basedOn w:val="Table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BalloonText">
    <w:name w:val="Balloon Text"/>
    <w:basedOn w:val="Normal"/>
    <w:link w:val="BalloonTextChar"/>
    <w:rsid w:val="00BD700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8AE-7215-184D-B53F-E0CF66F6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C:\WINWORD\REGLEMEN.DOT</Template>
  <TotalTime>1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Microsoft Office User</cp:lastModifiedBy>
  <cp:revision>2</cp:revision>
  <cp:lastPrinted>2013-06-10T07:03:00Z</cp:lastPrinted>
  <dcterms:created xsi:type="dcterms:W3CDTF">2020-09-04T15:28:00Z</dcterms:created>
  <dcterms:modified xsi:type="dcterms:W3CDTF">2020-09-04T15:28:00Z</dcterms:modified>
</cp:coreProperties>
</file>